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5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  <w:lang w:val="sr-RS"/>
        </w:rPr>
        <w:t>КОНТРОЛА УПРАВЉАЊА ОТПАДОМ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10"/>
          <w:szCs w:val="10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8"/>
          <w:szCs w:val="28"/>
          <w:lang w:val="sr-RS"/>
        </w:rPr>
        <w:t>К О Н Т Р О Л Н А   Л И С Т А   З 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8"/>
          <w:szCs w:val="28"/>
          <w:lang w:val="sr-RS"/>
        </w:rPr>
        <w:t>НЕСАНИТАРНЕ ДЕПОНИЈЕ - СМЕТЛИШТА</w:t>
      </w:r>
    </w:p>
    <w:p>
      <w:pPr>
        <w:pStyle w:val="style0"/>
        <w:spacing w:after="0" w:before="0" w:line="100" w:lineRule="atLeast"/>
        <w:ind w:firstLine="720" w:left="0" w:right="0"/>
        <w:jc w:val="center"/>
      </w:pPr>
      <w:r>
        <w:rPr>
          <w:rFonts w:ascii="Times New Roman" w:cs="Times New Roman" w:eastAsia="Calibri" w:hAnsi="Times New Roman"/>
          <w:b/>
          <w:sz w:val="10"/>
          <w:szCs w:val="10"/>
          <w:lang w:val="sr-RS"/>
        </w:rPr>
      </w:r>
    </w:p>
    <w:p>
      <w:pPr>
        <w:pStyle w:val="style0"/>
        <w:spacing w:after="0" w:before="0" w:line="100" w:lineRule="atLeast"/>
        <w:ind w:firstLine="720" w:left="0" w:right="0"/>
        <w:jc w:val="center"/>
      </w:pPr>
      <w:r>
        <w:rPr>
          <w:rFonts w:ascii="Times New Roman" w:cs="Times New Roman" w:eastAsia="Calibri" w:hAnsi="Times New Roman"/>
          <w:b/>
          <w:i/>
          <w:sz w:val="28"/>
          <w:szCs w:val="28"/>
          <w:lang w:val="sr-RS"/>
        </w:rPr>
        <w:t>Стање, санација, затварање и рекултивација несанитарних депонија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</w:rPr>
      </w:r>
    </w:p>
    <w:tbl>
      <w:tblPr>
        <w:jc w:val="center"/>
        <w:tblBorders>
          <w:top w:color="00000A" w:space="0" w:sz="12" w:val="single"/>
          <w:left w:color="00000A" w:space="0" w:sz="12" w:val="single"/>
          <w:bottom w:color="00000A" w:space="0" w:sz="8" w:val="single"/>
          <w:right w:color="00000A" w:space="0" w:sz="12" w:val="single"/>
        </w:tblBorders>
      </w:tblPr>
      <w:tblGrid>
        <w:gridCol w:w="4811"/>
      </w:tblGrid>
      <w:tr>
        <w:trPr>
          <w:trHeight w:hRule="atLeast" w:val="290"/>
          <w:cantSplit w:val="false"/>
        </w:trPr>
        <w:tc>
          <w:tcPr>
            <w:tcW w:type="dxa" w:w="4811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sr-RS"/>
              </w:rPr>
              <w:t>ИНФОРМАЦИЈЕ О УПРАВЉАЧУ НЕСАНИТАРНОМ ДЕПОНИЈОМ - СМЕТЛИШТЕМ</w:t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Назив ЈКП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Адреса (улица и број) и место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Општина - Град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Порески идентификациони број (ПИБ)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 xml:space="preserve">Контакт особа 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Назив радног места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4237"/>
            <w:tcBorders>
              <w:top w:color="00000A" w:space="0" w:sz="8" w:val="single"/>
              <w:left w:color="00000A" w:space="0" w:sz="12" w:val="single"/>
              <w:bottom w:color="00000A" w:space="0" w:sz="12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Телефон, Факс, E-mail</w:t>
            </w:r>
          </w:p>
        </w:tc>
        <w:tc>
          <w:tcPr>
            <w:tcW w:type="dxa" w:w="5386"/>
            <w:tcBorders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lang w:val="sr-RS"/>
        </w:rPr>
      </w:r>
    </w:p>
    <w:tbl>
      <w:tblPr>
        <w:jc w:val="center"/>
        <w:tblBorders>
          <w:top w:color="00000A" w:space="0" w:sz="12" w:val="single"/>
          <w:left w:color="00000A" w:space="0" w:sz="12" w:val="single"/>
          <w:bottom w:color="00000A" w:space="0" w:sz="8" w:val="single"/>
          <w:right w:color="00000A" w:space="0" w:sz="12" w:val="single"/>
        </w:tblBorders>
      </w:tblPr>
      <w:tblGrid>
        <w:gridCol w:w="4811"/>
      </w:tblGrid>
      <w:tr>
        <w:trPr>
          <w:trHeight w:hRule="atLeast" w:val="288"/>
          <w:cantSplit w:val="true"/>
        </w:trPr>
        <w:tc>
          <w:tcPr>
            <w:tcW w:type="dxa" w:w="4811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sr-RS"/>
              </w:rPr>
              <w:t>ОСНОВНИ ПОДАЦИ О НЕСАНИТАРНОЈ ДЕПОНИЈИ - СМЕТЛИШТУ</w:t>
            </w:r>
          </w:p>
        </w:tc>
      </w:tr>
      <w:tr>
        <w:trPr>
          <w:trHeight w:hRule="atLeast" w:val="288"/>
          <w:cantSplit w:val="true"/>
        </w:trPr>
        <w:tc>
          <w:tcPr>
            <w:tcW w:type="dxa" w:w="4237"/>
            <w:tcBorders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Локација депоније (место, насеље)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88"/>
          <w:cantSplit w:val="true"/>
        </w:trPr>
        <w:tc>
          <w:tcPr>
            <w:tcW w:type="dxa" w:w="4237"/>
            <w:tcBorders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Назив депоније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288"/>
          <w:cantSplit w:val="true"/>
        </w:trPr>
        <w:tc>
          <w:tcPr>
            <w:tcW w:type="dxa" w:w="4237"/>
            <w:tcBorders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Да ли је несанитарна депонија комуналног отпада активна?</w:t>
            </w:r>
          </w:p>
        </w:tc>
        <w:tc>
          <w:tcPr>
            <w:tcW w:type="dxa" w:w="5386"/>
            <w:tcBorders>
              <w:bottom w:color="00000A" w:space="0" w:sz="8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tabs>
                <w:tab w:leader="none" w:pos="1797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Да                          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Не  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lang w:val="sr-RS"/>
        </w:rPr>
      </w:r>
    </w:p>
    <w:tbl>
      <w:tblPr>
        <w:jc w:val="left"/>
        <w:tblBorders>
          <w:top w:color="00000A" w:space="0" w:sz="12" w:val="single"/>
          <w:left w:color="00000A" w:space="0" w:sz="12" w:val="single"/>
          <w:bottom w:color="00000A" w:space="0" w:sz="2" w:val="single"/>
          <w:right w:color="00000A" w:space="0" w:sz="12" w:val="single"/>
        </w:tblBorders>
      </w:tblPr>
      <w:tblGrid>
        <w:gridCol w:w="3202"/>
      </w:tblGrid>
      <w:tr>
        <w:trPr>
          <w:trHeight w:hRule="atLeast" w:val="227"/>
          <w:cantSplit w:val="false"/>
        </w:trPr>
        <w:tc>
          <w:tcPr>
            <w:tcW w:type="dxa" w:w="3202"/>
            <w:gridSpan w:val="3"/>
            <w:tcBorders>
              <w:top w:color="00000A" w:space="0" w:sz="12" w:val="single"/>
              <w:left w:color="00000A" w:space="0" w:sz="12" w:val="single"/>
              <w:bottom w:color="00000A" w:space="0" w:sz="2" w:val="single"/>
              <w:right w:color="00000A" w:space="0" w:sz="1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Verdana" w:hAnsi="Times New Roman"/>
                <w:b/>
                <w:sz w:val="24"/>
                <w:szCs w:val="24"/>
                <w:lang w:eastAsia="ru-RU" w:val="sr-RS"/>
              </w:rPr>
              <w:t>ПРОЈЕКАТ САНАЦИЈЕ, РЕКУЛТИВАЦИЈЕ И ЗАТВАРАЊА И ПЛАН ПРИЛАГОЂАВАЊА ПОСТРОЈЕЊА СА КОРЕКТИВНИМ МЕРАМА</w:t>
            </w:r>
          </w:p>
        </w:tc>
      </w:tr>
      <w:tr>
        <w:trPr>
          <w:trHeight w:hRule="atLeast" w:val="317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>1</w:t>
            </w: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keepNext/>
              <w:spacing w:after="0" w:before="0" w:line="100" w:lineRule="atLeast"/>
              <w:ind w:firstLine="192" w:left="0" w:right="0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6431"/>
            <w:tcBorders>
              <w:top w:color="00000A" w:space="0" w:sz="2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је за несанитарну депонију – сметлиште израђен Пројекат санације, затварања и рекултивације?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667"/>
            <w:tcBorders>
              <w:top w:color="00000A" w:space="0" w:sz="2" w:val="single"/>
              <w:left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97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                         (2)</w:t>
            </w:r>
          </w:p>
          <w:p>
            <w:pPr>
              <w:pStyle w:val="style0"/>
              <w:tabs>
                <w:tab w:leader="none" w:pos="2503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Не                          (0)</w:t>
            </w:r>
          </w:p>
        </w:tc>
      </w:tr>
      <w:tr>
        <w:trPr>
          <w:trHeight w:hRule="atLeast" w:val="198"/>
          <w:cantSplit w:val="false"/>
        </w:trPr>
        <w:tc>
          <w:tcPr>
            <w:tcW w:type="dxa" w:w="510"/>
            <w:vMerge w:val="continue"/>
            <w:tcBorders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ind w:firstLine="192" w:left="0" w:right="0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697"/>
          <w:cantSplit w:val="false"/>
        </w:trPr>
        <w:tc>
          <w:tcPr>
            <w:tcW w:type="dxa" w:w="510"/>
            <w:vMerge w:val="restart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>2</w:t>
            </w: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је прибављена сагласност на Пројекат санације, затварања и рекултивације?</w:t>
            </w:r>
          </w:p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97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                         (2)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Не                          (0)</w:t>
            </w:r>
          </w:p>
        </w:tc>
      </w:tr>
      <w:tr>
        <w:trPr>
          <w:trHeight w:hRule="atLeast" w:val="329"/>
          <w:cantSplit w:val="false"/>
        </w:trPr>
        <w:tc>
          <w:tcPr>
            <w:tcW w:type="dxa" w:w="510"/>
            <w:vMerge w:val="continue"/>
            <w:tcBorders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numPr>
                <w:ilvl w:val="0"/>
                <w:numId w:val="1"/>
              </w:numPr>
              <w:spacing w:after="0" w:before="0" w:line="100" w:lineRule="atLeast"/>
              <w:ind w:firstLine="192" w:left="720" w:right="0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 xml:space="preserve">Напомена: </w:t>
            </w:r>
          </w:p>
        </w:tc>
      </w:tr>
      <w:tr>
        <w:trPr>
          <w:trHeight w:hRule="atLeast" w:val="799"/>
          <w:cantSplit w:val="false"/>
        </w:trPr>
        <w:tc>
          <w:tcPr>
            <w:tcW w:type="dxa" w:w="510"/>
            <w:vMerge w:val="restart"/>
            <w:tcBorders>
              <w:top w:color="00000A" w:space="0" w:sz="4" w:val="single"/>
              <w:left w:color="00000A" w:space="0" w:sz="12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>3.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 xml:space="preserve">Да ли се изводе радови по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Пројекту санације, затварања и рекултивације?</w:t>
            </w:r>
          </w:p>
          <w:p>
            <w:pPr>
              <w:pStyle w:val="style0"/>
              <w:keepNext/>
              <w:tabs>
                <w:tab w:leader="none" w:pos="4946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bCs/>
                <w:i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                         (2)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Делимично           (1)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Не                          (0) 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510"/>
            <w:vMerge w:val="continue"/>
            <w:tcBorders>
              <w:left w:color="00000A" w:space="0" w:sz="12" w:val="single"/>
              <w:bottom w:color="00000A" w:space="0" w:sz="2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numPr>
                <w:ilvl w:val="0"/>
                <w:numId w:val="1"/>
              </w:numPr>
              <w:spacing w:after="0" w:before="0" w:line="100" w:lineRule="atLeast"/>
              <w:ind w:firstLine="192" w:left="720" w:right="0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bCs/>
                <w:iCs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4.</w:t>
            </w:r>
          </w:p>
        </w:tc>
        <w:tc>
          <w:tcPr>
            <w:tcW w:type="dxa" w:w="6431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се спроводе мере заштите животне средине прописане Пројектом санације, затварања и рекултивације?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667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                         (2)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Делимично           (1)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Не                          (0)    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10"/>
            <w:vMerge w:val="continue"/>
            <w:tcBorders>
              <w:top w:color="00000A" w:space="0" w:sz="12" w:val="single"/>
              <w:left w:color="00000A" w:space="0" w:sz="12" w:val="single"/>
              <w:bottom w:color="00000A" w:space="0" w:sz="2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192" w:left="0" w:right="0"/>
            </w:pPr>
            <w:r>
              <w:rPr>
                <w:rFonts w:ascii="Times New Roman" w:cs="Times New Roman" w:eastAsia="Verdana" w:hAnsi="Times New Roman"/>
                <w:b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bookmarkStart w:id="0" w:name="_Toc178427146"/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5.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се спроводи мониторинг прописан Пројектом санације, затварања и рекултивације?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                         (2)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Делимично           (1)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Не                          (0)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Није применљиво (2)   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510"/>
            <w:vMerge w:val="continue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6.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Да                          (0)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Не                          (2)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510"/>
            <w:vMerge w:val="continue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7.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је Јавно комунално предузеће које управља несанитарним депонијама израдило План прилагођавања постројења са корективним мерама?</w:t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Да                          (2)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Не                          (0)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510"/>
            <w:vMerge w:val="continue"/>
            <w:tcBorders>
              <w:top w:color="00000A" w:space="0" w:sz="2" w:val="single"/>
              <w:left w:color="00000A" w:space="0" w:sz="12" w:val="single"/>
              <w:bottom w:color="00000A" w:space="0" w:sz="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Напомена: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510"/>
            <w:vMerge w:val="restart"/>
            <w:tcBorders>
              <w:top w:color="00000A" w:space="0" w:sz="2" w:val="single"/>
              <w:left w:color="00000A" w:space="0" w:sz="12" w:val="single"/>
              <w:bottom w:color="00000A" w:space="0" w:sz="1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8.</w:t>
            </w:r>
          </w:p>
        </w:tc>
        <w:tc>
          <w:tcPr>
            <w:tcW w:type="dxa" w:w="6431"/>
            <w:tcBorders>
              <w:top w:color="00000A" w:space="0" w:sz="4" w:val="single"/>
              <w:left w:color="00000A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Да ли је Јавно комунално предузеће које управља несанитарним депонијама доставило министарству на одобрење План прилагођавања постројења са корективним мерама?</w:t>
            </w:r>
          </w:p>
        </w:tc>
        <w:tc>
          <w:tcPr>
            <w:tcW w:type="dxa" w:w="2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Да                          (2)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  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>Не                          (0)</w:t>
            </w:r>
          </w:p>
        </w:tc>
      </w:tr>
      <w:tr>
        <w:trPr>
          <w:trHeight w:hRule="atLeast" w:val="311"/>
          <w:cantSplit w:val="false"/>
        </w:trPr>
        <w:tc>
          <w:tcPr>
            <w:tcW w:type="dxa" w:w="510"/>
            <w:vMerge w:val="continue"/>
            <w:tcBorders>
              <w:top w:color="00000A" w:space="0" w:sz="2" w:val="single"/>
              <w:left w:color="00000A" w:space="0" w:sz="12" w:val="single"/>
              <w:bottom w:color="00000A" w:space="0" w:sz="12" w:val="single"/>
              <w:right w:color="00000A" w:space="0" w:sz="2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192" w:left="720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5895"/>
            <w:gridSpan w:val="2"/>
            <w:tcBorders>
              <w:top w:color="00000A" w:space="0" w:sz="4" w:val="single"/>
              <w:left w:color="00000A" w:space="0" w:sz="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Напомена:  </w:t>
            </w:r>
          </w:p>
        </w:tc>
      </w:tr>
    </w:tbl>
    <w:p>
      <w:pPr>
        <w:pStyle w:val="style0"/>
        <w:spacing w:after="0" w:before="0" w:line="100" w:lineRule="atLeast"/>
        <w:jc w:val="both"/>
      </w:pPr>
      <w:bookmarkStart w:id="1" w:name="_Toc178427149"/>
      <w:bookmarkStart w:id="2" w:name="_Toc178427149"/>
      <w:bookmarkEnd w:id="2"/>
      <w:r>
        <w:rPr>
          <w:rFonts w:ascii="Times New Roman" w:cs="Times New Roman" w:eastAsia="Calibri" w:hAnsi="Times New Roman"/>
          <w:sz w:val="24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</w:rPr>
      </w:r>
    </w:p>
    <w:tbl>
      <w:tblPr>
        <w:jc w:val="center"/>
        <w:tblBorders>
          <w:top w:color="00000A" w:space="0" w:sz="12" w:val="single"/>
          <w:left w:color="00000A" w:space="0" w:sz="12" w:val="single"/>
          <w:bottom w:color="00000A" w:space="0" w:sz="4" w:val="single"/>
          <w:right w:color="00000A" w:space="0" w:sz="4" w:val="single"/>
        </w:tblBorders>
      </w:tblPr>
      <w:tblGrid>
        <w:gridCol w:w="6804"/>
        <w:gridCol w:w="0"/>
      </w:tblGrid>
      <w:tr>
        <w:trPr>
          <w:cantSplit w:val="false"/>
        </w:trPr>
        <w:tc>
          <w:tcPr>
            <w:tcW w:type="dxa" w:w="6804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 надзираног субјекта:</w:t>
            </w:r>
          </w:p>
        </w:tc>
        <w:tc>
          <w:tcPr>
            <w:tcW w:type="dxa" w:w="0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26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type="dxa" w:w="3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26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</w:tr>
      <w:tr>
        <w:trPr>
          <w:cantSplit w:val="false"/>
        </w:trPr>
        <w:tc>
          <w:tcPr>
            <w:tcW w:type="dxa" w:w="326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en-GB"/>
              </w:rPr>
            </w:r>
          </w:p>
        </w:tc>
        <w:tc>
          <w:tcPr>
            <w:tcW w:type="dxa" w:w="3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en-GB"/>
              </w:rPr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26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en-GB"/>
              </w:rPr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cantSplit w:val="false"/>
        </w:trPr>
        <w:tc>
          <w:tcPr>
            <w:tcW w:type="dxa" w:w="3402"/>
            <w:gridSpan w:val="3"/>
            <w:tcBorders>
              <w:top w:color="00000A" w:space="0" w:sz="4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Датум:</w:t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cs="Times New Roman" w:eastAsia="Calibri"/>
          <w:lang w:val="en-GB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cs="Times New Roman" w:eastAsia="Calibri" w:hAnsi="Times New Roman"/>
          <w:w w:val="90"/>
          <w:sz w:val="24"/>
          <w:szCs w:val="24"/>
          <w:lang w:val="sr-RS"/>
        </w:rPr>
        <w:t>: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302"/>
        <w:gridCol w:w="2977"/>
      </w:tblGrid>
      <w:tr>
        <w:trPr>
          <w:trHeight w:hRule="atLeast" w:val="469"/>
          <w:cantSplit w:val="false"/>
        </w:trPr>
        <w:tc>
          <w:tcPr>
            <w:tcW w:type="dxa" w:w="4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sz w:val="24"/>
                <w:szCs w:val="24"/>
                <w:lang w:val="sr-RS"/>
              </w:rPr>
              <w:t>16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w w:val="90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w w:val="90"/>
          <w:lang w:val="sr-RS"/>
        </w:rPr>
        <w:t xml:space="preserve">Надзором </w:t>
      </w:r>
      <w:r>
        <w:rPr>
          <w:rFonts w:ascii="Times New Roman" w:cs="Times New Roman" w:eastAsia="Calibri" w:hAnsi="Times New Roman"/>
          <w:b/>
          <w:caps/>
          <w:w w:val="90"/>
          <w:lang w:val="sr-RS"/>
        </w:rPr>
        <w:t>утврђени број бодова</w:t>
      </w:r>
      <w:r>
        <w:rPr>
          <w:rFonts w:ascii="Times New Roman" w:cs="Times New Roman" w:eastAsia="Calibri" w:hAnsi="Times New Roman"/>
          <w:b/>
          <w:w w:val="90"/>
          <w:lang w:val="sr-RS"/>
        </w:rPr>
        <w:t>: 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w w:val="90"/>
          <w:sz w:val="10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25"/>
        <w:gridCol w:w="1361"/>
        <w:gridCol w:w="1134"/>
        <w:gridCol w:w="1133"/>
        <w:gridCol w:w="1207"/>
      </w:tblGrid>
      <w:tr>
        <w:trPr>
          <w:trHeight w:hRule="atLeast" w:val="328"/>
          <w:cantSplit w:val="false"/>
        </w:trPr>
        <w:tc>
          <w:tcPr>
            <w:tcW w:type="dxa" w:w="1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1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92"/>
              <w:jc w:val="center"/>
            </w:pPr>
            <w:r>
              <w:rPr>
                <w:rFonts w:ascii="Times New Roman" w:cs="Times New Roman" w:eastAsia="Calibri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w w:val="90"/>
                <w:lang w:val="sr-RS"/>
              </w:rPr>
              <w:t>15-16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108" w:left="0" w:right="0"/>
              <w:jc w:val="center"/>
            </w:pPr>
            <w:r>
              <w:rPr>
                <w:rFonts w:ascii="Times New Roman" w:cs="Times New Roman" w:eastAsia="Calibri" w:hAnsi="Times New Roman"/>
                <w:w w:val="90"/>
                <w:lang w:val="sr-RS"/>
              </w:rPr>
              <w:t>13-14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jc w:val="center"/>
            </w:pPr>
            <w:r>
              <w:rPr>
                <w:rFonts w:ascii="Times New Roman" w:cs="Times New Roman" w:eastAsia="Calibri" w:hAnsi="Times New Roman"/>
                <w:w w:val="90"/>
                <w:lang w:val="sr-RS"/>
              </w:rPr>
              <w:t>11-12</w:t>
            </w:r>
          </w:p>
        </w:tc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w w:val="90"/>
                <w:lang w:val="sr-RS"/>
              </w:rPr>
              <w:t>&lt;11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60"/>
        <w:gridCol w:w="1800"/>
        <w:gridCol w:w="3086"/>
      </w:tblGrid>
      <w:tr>
        <w:trPr>
          <w:trHeight w:hRule="atLeast" w:val="278"/>
          <w:cantSplit w:val="false"/>
        </w:trPr>
        <w:tc>
          <w:tcPr>
            <w:tcW w:type="dxa" w:w="53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 w:line="276" w:lineRule="auto"/>
              <w:ind w:hanging="0" w:left="0" w:right="-92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eastAsia="Calibri" w:hAnsi="Times New Roman"/>
                <w:lang w:val="sr-RS"/>
              </w:rPr>
              <w:t>низак</w:t>
            </w:r>
          </w:p>
        </w:tc>
        <w:tc>
          <w:tcPr>
            <w:tcW w:type="dxa" w:w="30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3820_871263272"/>
            <w:bookmarkStart w:id="4" w:name="__Fieldmark__3820_871263272"/>
            <w:bookmarkStart w:id="5" w:name="__Fieldmark__3820_871263272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3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 w:line="276" w:lineRule="auto"/>
              <w:ind w:hanging="0" w:left="0" w:right="-92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ru-RU"/>
              </w:rPr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eastAsia="Calibri" w:hAnsi="Times New Roman"/>
                <w:lang w:val="sr-RS"/>
              </w:rPr>
              <w:t>средњи</w:t>
            </w:r>
          </w:p>
        </w:tc>
        <w:tc>
          <w:tcPr>
            <w:tcW w:type="dxa" w:w="30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824_871263272"/>
            <w:bookmarkStart w:id="7" w:name="__Fieldmark__3824_871263272"/>
            <w:bookmarkStart w:id="8" w:name="__Fieldmark__3824_871263272"/>
            <w:bookmarkEnd w:id="8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3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 w:line="276" w:lineRule="auto"/>
              <w:ind w:hanging="0" w:left="0" w:right="-92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ru-RU"/>
              </w:rPr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eastAsia="Calibri" w:hAnsi="Times New Roman"/>
                <w:lang w:val="sr-RS"/>
              </w:rPr>
              <w:t>висок</w:t>
            </w:r>
          </w:p>
        </w:tc>
        <w:tc>
          <w:tcPr>
            <w:tcW w:type="dxa" w:w="30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828_871263272"/>
            <w:bookmarkStart w:id="10" w:name="__Fieldmark__3828_871263272"/>
            <w:bookmarkStart w:id="11" w:name="__Fieldmark__3828_871263272"/>
            <w:bookmarkEnd w:id="11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3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 w:line="276" w:lineRule="auto"/>
              <w:ind w:hanging="0" w:left="0" w:right="-92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ru-RU"/>
              </w:rPr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eastAsia="Calibri" w:hAnsi="Times New Roman"/>
                <w:lang w:val="sr-RS"/>
              </w:rPr>
              <w:t>критичан</w:t>
            </w:r>
          </w:p>
        </w:tc>
        <w:tc>
          <w:tcPr>
            <w:tcW w:type="dxa" w:w="30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3832_871263272"/>
            <w:bookmarkStart w:id="13" w:name="__Fieldmark__3832_871263272"/>
            <w:bookmarkStart w:id="14" w:name="__Fieldmark__3832_871263272"/>
            <w:bookmarkEnd w:id="14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after="200" w:before="0" w:line="276" w:lineRule="auto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191" w:footer="709" w:gutter="0" w:header="709" w:left="1134" w:right="1134" w:top="119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right"/>
    </w:pPr>
    <w:r>
      <w:rPr>
        <w:rFonts w:ascii="Times New Roman" w:hAnsi="Times New Roman"/>
        <w:lang w:val="sr-RS"/>
      </w:rPr>
      <w:t>Страна</w:t>
    </w:r>
    <w:r>
      <w:rPr>
        <w:rFonts w:ascii="Times New Roman" w:hAnsi="Times New Roman"/>
      </w:rPr>
      <w:t xml:space="preserve">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Times New Roman" w:hAnsi="Times New Roman"/>
        <w:lang w:val="sr-RS"/>
      </w:rPr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2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sr-RS"/>
      </w:rPr>
      <w:t>МИНИСТАРСТ</w:t>
    </w:r>
    <w:r>
      <w:rPr>
        <w:rFonts w:ascii="Times New Roman" w:eastAsia="Times New Roman" w:hAnsi="Times New Roman"/>
        <w:lang w:val="ru-RU"/>
      </w:rPr>
      <w:t>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 xml:space="preserve">Сектор </w:t>
    </w:r>
    <w:r>
      <w:rPr>
        <w:rFonts w:ascii="Times New Roman" w:eastAsia="Times New Roman" w:hAnsi="Times New Roman"/>
        <w:lang w:val="sr-RS"/>
      </w:rPr>
      <w:t>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>Шифра: КЛ-0</w:t>
    </w:r>
    <w:r>
      <w:rPr>
        <w:rFonts w:ascii="Times New Roman" w:eastAsia="Times New Roman" w:hAnsi="Times New Roman"/>
        <w:b/>
        <w:sz w:val="24"/>
        <w:szCs w:val="24"/>
      </w:rPr>
      <w:t>6</w:t>
    </w:r>
    <w:r>
      <w:rPr>
        <w:rFonts w:ascii="Times New Roman" w:eastAsia="Times New Roman" w:hAnsi="Times New Roman"/>
        <w:b/>
        <w:sz w:val="24"/>
        <w:szCs w:val="24"/>
        <w:lang w:val="sr-RS"/>
      </w:rPr>
      <w:t>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</w:rPr>
      <w:t>27.12</w:t>
    </w:r>
    <w:bookmarkStart w:id="15" w:name="_GoBack"/>
    <w:bookmarkEnd w:id="15"/>
    <w:r>
      <w:rPr>
        <w:rFonts w:ascii="Times New Roman" w:eastAsia="Times New Roman" w:hAnsi="Times New Roman"/>
        <w:b/>
        <w:sz w:val="24"/>
        <w:szCs w:val="24"/>
      </w:rPr>
      <w:t>.2019.</w:t>
    </w:r>
  </w:p>
  <w:p>
    <w:pPr>
      <w:pStyle w:val="style2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-1080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-10080"/>
      </w:pPr>
    </w:lvl>
    <w:lvl w:ilvl="2">
      <w:start w:val="1"/>
      <w:numFmt w:val="lowerRoman"/>
      <w:lvlText w:val="%3."/>
      <w:lvlJc w:val="right"/>
      <w:pPr>
        <w:ind w:hanging="180" w:left="-9360"/>
      </w:pPr>
    </w:lvl>
    <w:lvl w:ilvl="3">
      <w:start w:val="1"/>
      <w:numFmt w:val="decimal"/>
      <w:lvlText w:val="%4."/>
      <w:lvlJc w:val="left"/>
      <w:pPr>
        <w:ind w:hanging="360" w:left="-8640"/>
      </w:pPr>
    </w:lvl>
    <w:lvl w:ilvl="4">
      <w:start w:val="1"/>
      <w:numFmt w:val="lowerLetter"/>
      <w:lvlText w:val="%5."/>
      <w:lvlJc w:val="left"/>
      <w:pPr>
        <w:ind w:hanging="360" w:left="-7920"/>
      </w:pPr>
    </w:lvl>
    <w:lvl w:ilvl="5">
      <w:start w:val="1"/>
      <w:numFmt w:val="lowerRoman"/>
      <w:lvlText w:val="%6."/>
      <w:lvlJc w:val="right"/>
      <w:pPr>
        <w:ind w:hanging="180" w:left="-7200"/>
      </w:pPr>
    </w:lvl>
    <w:lvl w:ilvl="6">
      <w:start w:val="1"/>
      <w:numFmt w:val="decimal"/>
      <w:lvlText w:val="%7."/>
      <w:lvlJc w:val="left"/>
      <w:pPr>
        <w:ind w:hanging="360" w:left="-6480"/>
      </w:pPr>
    </w:lvl>
    <w:lvl w:ilvl="7">
      <w:start w:val="1"/>
      <w:numFmt w:val="lowerLetter"/>
      <w:lvlText w:val="%8."/>
      <w:lvlJc w:val="left"/>
      <w:pPr>
        <w:ind w:hanging="360" w:left="-5760"/>
      </w:pPr>
    </w:lvl>
    <w:lvl w:ilvl="8">
      <w:start w:val="1"/>
      <w:numFmt w:val="lowerRoman"/>
      <w:lvlText w:val="%9."/>
      <w:lvlJc w:val="right"/>
      <w:pPr>
        <w:ind w:hanging="180" w:left="-50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Comment Text Char"/>
    <w:basedOn w:val="style15"/>
    <w:next w:val="style20"/>
    <w:rPr>
      <w:sz w:val="20"/>
      <w:szCs w:val="20"/>
    </w:rPr>
  </w:style>
  <w:style w:styleId="style21" w:type="character">
    <w:name w:val="Comment Subject Char"/>
    <w:basedOn w:val="style20"/>
    <w:next w:val="style21"/>
    <w:rPr>
      <w:b/>
      <w:bCs/>
      <w:sz w:val="20"/>
      <w:szCs w:val="20"/>
    </w:rPr>
  </w:style>
  <w:style w:styleId="style22" w:type="character">
    <w:name w:val="ListLabel 1"/>
    <w:next w:val="style22"/>
    <w:rPr>
      <w:b w:val="false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Mangal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Header"/>
    <w:basedOn w:val="style0"/>
    <w:next w:val="style28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9" w:type="paragraph">
    <w:name w:val="Footer"/>
    <w:basedOn w:val="style0"/>
    <w:next w:val="style2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Balloon Text"/>
    <w:basedOn w:val="style0"/>
    <w:next w:val="style31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2" w:type="paragraph">
    <w:name w:val="annotation text"/>
    <w:basedOn w:val="style0"/>
    <w:next w:val="style32"/>
    <w:pPr>
      <w:spacing w:line="100" w:lineRule="atLeast"/>
    </w:pPr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2020-01-09T09:11:00.00Z</dcterms:created>
  <dc:creator>Jelena Stankovic</dc:creator>
  <cp:lastModifiedBy>Jelena Dj. Golubovic</cp:lastModifiedBy>
  <cp:lastPrinted>2016-11-03T06:52:00.00Z</cp:lastPrinted>
  <dcterms:modified xsi:type="dcterms:W3CDTF">2020-01-09T09:11:00.00Z</dcterms:modified>
  <cp:revision>2</cp:revision>
</cp:coreProperties>
</file>